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48"/>
          <w:szCs w:val="48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48"/>
          <w:szCs w:val="48"/>
          <w:rtl w:val="0"/>
        </w:rPr>
        <w:t xml:space="preserve">The Client Audit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List all of your present and past clients below: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Next, group them into as many different segments as possible based on commonalities.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Examples: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Clients in the medical industry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Clients who pay up front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Clients who have asked me for multiple projects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Clients who love my sense of humor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Clients who were athletes in college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Be creative at coming up with potential commonalities.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List as many client groupings as possible below: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Then for each segment above, answer the following question: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Rainmaker?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Answer yes if the sky opens up with money when they call you.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Fulfilling?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Answer yes if this work is enjoyable and/or you feel it has a positive impact on the world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Example: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Clients who have asked me for multiple projects: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Bob Davis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 Ice Cream Company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Hanging Plants LLC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Rainmaker? Yes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Fulfilling? No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bookmarkStart w:colFirst="0" w:colLast="0" w:name="_thvutjytu90a" w:id="0"/>
      <w:bookmarkEnd w:id="0"/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Now, go through and look at your segments. Any segment that is both a rainmaker and offers fulfilling work is a potential Blue Ocean.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bookmarkStart w:colFirst="0" w:colLast="0" w:name="_u0kcbsdlkdo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bookmarkStart w:colFirst="0" w:colLast="0" w:name="_ra4hig5d499v" w:id="2"/>
      <w:bookmarkEnd w:id="2"/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We can position your business around them and focus on attracting only those types of clients and becoming the only option in their mind.</w:t>
      </w:r>
    </w:p>
    <w:sectPr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